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1C227" w14:textId="77777777" w:rsidR="00985CE2" w:rsidRPr="00985CE2" w:rsidRDefault="00985CE2" w:rsidP="00985CE2">
      <w:pPr>
        <w:rPr>
          <w:b/>
          <w:bCs/>
        </w:rPr>
      </w:pPr>
      <w:r w:rsidRPr="00985CE2">
        <w:rPr>
          <w:b/>
          <w:bCs/>
        </w:rPr>
        <w:t>Why Did Georgia Choose to Reorganize Rather Than Rewrite Its Constitution?</w:t>
      </w:r>
    </w:p>
    <w:p w14:paraId="43B21DD8" w14:textId="77777777" w:rsidR="00985CE2" w:rsidRPr="00985CE2" w:rsidRDefault="00985CE2" w:rsidP="00985CE2">
      <w:r w:rsidRPr="00985CE2">
        <w:t xml:space="preserve">By the 1970s, Georgia’s </w:t>
      </w:r>
      <w:r w:rsidRPr="00985CE2">
        <w:rPr>
          <w:b/>
          <w:bCs/>
        </w:rPr>
        <w:t>1945 Constitution</w:t>
      </w:r>
      <w:r w:rsidRPr="00985CE2">
        <w:t xml:space="preserve">—itself a revision of the 1877 document—had become cluttered with hundreds of amendments, many of which applied only to specific counties or issues. Despite multiple commissions and proposals since the 1960s, efforts at comprehensive reform had failed. In 1976, state leaders, including </w:t>
      </w:r>
      <w:r w:rsidRPr="00985CE2">
        <w:rPr>
          <w:b/>
          <w:bCs/>
        </w:rPr>
        <w:t>Governor George Busbee</w:t>
      </w:r>
      <w:r w:rsidRPr="00985CE2">
        <w:t xml:space="preserve">, opted for a strategic shift: </w:t>
      </w:r>
      <w:r w:rsidRPr="00985CE2">
        <w:rPr>
          <w:b/>
          <w:bCs/>
        </w:rPr>
        <w:t>reorganize the constitution article by article</w:t>
      </w:r>
      <w:r w:rsidRPr="00985CE2">
        <w:t xml:space="preserve"> to improve clarity and usability without making controversial policy changes.</w:t>
      </w:r>
    </w:p>
    <w:p w14:paraId="232FD2D8" w14:textId="77777777" w:rsidR="00985CE2" w:rsidRPr="00985CE2" w:rsidRDefault="00985CE2" w:rsidP="00985CE2">
      <w:r w:rsidRPr="00985CE2">
        <w:t xml:space="preserve">This pragmatic approach allowed reformers to standardize structure, simplify language, and remove outdated provisions while avoiding the political resistance that had plagued previous efforts. The </w:t>
      </w:r>
      <w:r w:rsidRPr="00985CE2">
        <w:rPr>
          <w:b/>
          <w:bCs/>
        </w:rPr>
        <w:t>1976 Constitution</w:t>
      </w:r>
      <w:r w:rsidRPr="00985CE2">
        <w:t xml:space="preserve"> was not revolutionary—it did not alter power dynamics or expand rights—but it set the stage for future change. It served as a transitional document that reflected lessons from earlier failures and showed how legal design can evolve incrementally.</w:t>
      </w:r>
    </w:p>
    <w:p w14:paraId="7CB8671B" w14:textId="77777777" w:rsidR="00985CE2" w:rsidRPr="00985CE2" w:rsidRDefault="00985CE2" w:rsidP="00985CE2">
      <w:r w:rsidRPr="00985CE2">
        <w:pict w14:anchorId="17BA79DB">
          <v:rect id="_x0000_i1790" style="width:0;height:1.5pt" o:hralign="center" o:hrstd="t" o:hr="t" fillcolor="#a0a0a0" stroked="f"/>
        </w:pict>
      </w:r>
    </w:p>
    <w:p w14:paraId="49587151" w14:textId="77777777" w:rsidR="00985CE2" w:rsidRPr="00985CE2" w:rsidRDefault="00985CE2" w:rsidP="00985CE2">
      <w:pPr>
        <w:rPr>
          <w:b/>
          <w:bCs/>
        </w:rPr>
      </w:pPr>
      <w:r w:rsidRPr="00985CE2">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09"/>
        <w:gridCol w:w="6751"/>
      </w:tblGrid>
      <w:tr w:rsidR="00985CE2" w:rsidRPr="00985CE2" w14:paraId="10F98124" w14:textId="77777777">
        <w:trPr>
          <w:tblHeader/>
          <w:tblCellSpacing w:w="15" w:type="dxa"/>
        </w:trPr>
        <w:tc>
          <w:tcPr>
            <w:tcW w:w="0" w:type="auto"/>
            <w:vAlign w:val="center"/>
            <w:hideMark/>
          </w:tcPr>
          <w:p w14:paraId="610009AA" w14:textId="77777777" w:rsidR="00985CE2" w:rsidRPr="00985CE2" w:rsidRDefault="00985CE2" w:rsidP="00985CE2">
            <w:pPr>
              <w:rPr>
                <w:b/>
                <w:bCs/>
              </w:rPr>
            </w:pPr>
            <w:r w:rsidRPr="00985CE2">
              <w:rPr>
                <w:b/>
                <w:bCs/>
              </w:rPr>
              <w:t>Term</w:t>
            </w:r>
          </w:p>
        </w:tc>
        <w:tc>
          <w:tcPr>
            <w:tcW w:w="0" w:type="auto"/>
            <w:vAlign w:val="center"/>
            <w:hideMark/>
          </w:tcPr>
          <w:p w14:paraId="597FA569" w14:textId="77777777" w:rsidR="00985CE2" w:rsidRPr="00985CE2" w:rsidRDefault="00985CE2" w:rsidP="00985CE2">
            <w:pPr>
              <w:rPr>
                <w:b/>
                <w:bCs/>
              </w:rPr>
            </w:pPr>
            <w:r w:rsidRPr="00985CE2">
              <w:rPr>
                <w:b/>
                <w:bCs/>
              </w:rPr>
              <w:t>Definition</w:t>
            </w:r>
          </w:p>
        </w:tc>
      </w:tr>
      <w:tr w:rsidR="00985CE2" w:rsidRPr="00985CE2" w14:paraId="2CF54EB5" w14:textId="77777777">
        <w:trPr>
          <w:tblCellSpacing w:w="15" w:type="dxa"/>
        </w:trPr>
        <w:tc>
          <w:tcPr>
            <w:tcW w:w="0" w:type="auto"/>
            <w:vAlign w:val="center"/>
            <w:hideMark/>
          </w:tcPr>
          <w:p w14:paraId="4EDC0D4E" w14:textId="77777777" w:rsidR="00985CE2" w:rsidRPr="00985CE2" w:rsidRDefault="00985CE2" w:rsidP="00985CE2">
            <w:r w:rsidRPr="00985CE2">
              <w:t>Georgia Constitution of 1976</w:t>
            </w:r>
          </w:p>
        </w:tc>
        <w:tc>
          <w:tcPr>
            <w:tcW w:w="0" w:type="auto"/>
            <w:vAlign w:val="center"/>
            <w:hideMark/>
          </w:tcPr>
          <w:p w14:paraId="6AF75142" w14:textId="77777777" w:rsidR="00985CE2" w:rsidRPr="00985CE2" w:rsidRDefault="00985CE2" w:rsidP="00985CE2">
            <w:r w:rsidRPr="00985CE2">
              <w:t>A reorganized version of the 1945 Constitution, designed for clarity and usability without major policy changes.</w:t>
            </w:r>
          </w:p>
        </w:tc>
      </w:tr>
      <w:tr w:rsidR="00985CE2" w:rsidRPr="00985CE2" w14:paraId="5F043E96" w14:textId="77777777">
        <w:trPr>
          <w:tblCellSpacing w:w="15" w:type="dxa"/>
        </w:trPr>
        <w:tc>
          <w:tcPr>
            <w:tcW w:w="0" w:type="auto"/>
            <w:vAlign w:val="center"/>
            <w:hideMark/>
          </w:tcPr>
          <w:p w14:paraId="59D947CD" w14:textId="77777777" w:rsidR="00985CE2" w:rsidRPr="00985CE2" w:rsidRDefault="00985CE2" w:rsidP="00985CE2">
            <w:r w:rsidRPr="00985CE2">
              <w:t>Article-by-Article Revision</w:t>
            </w:r>
          </w:p>
        </w:tc>
        <w:tc>
          <w:tcPr>
            <w:tcW w:w="0" w:type="auto"/>
            <w:vAlign w:val="center"/>
            <w:hideMark/>
          </w:tcPr>
          <w:p w14:paraId="7FA45956" w14:textId="77777777" w:rsidR="00985CE2" w:rsidRPr="00985CE2" w:rsidRDefault="00985CE2" w:rsidP="00985CE2">
            <w:r w:rsidRPr="00985CE2">
              <w:t>A method of constitutional reform where each section is restructured for coherence and organization rather than substance.</w:t>
            </w:r>
          </w:p>
        </w:tc>
      </w:tr>
      <w:tr w:rsidR="00985CE2" w:rsidRPr="00985CE2" w14:paraId="58098058" w14:textId="77777777">
        <w:trPr>
          <w:tblCellSpacing w:w="15" w:type="dxa"/>
        </w:trPr>
        <w:tc>
          <w:tcPr>
            <w:tcW w:w="0" w:type="auto"/>
            <w:vAlign w:val="center"/>
            <w:hideMark/>
          </w:tcPr>
          <w:p w14:paraId="40E1F48E" w14:textId="77777777" w:rsidR="00985CE2" w:rsidRPr="00985CE2" w:rsidRDefault="00985CE2" w:rsidP="00985CE2">
            <w:r w:rsidRPr="00985CE2">
              <w:t>Governor George Busbee</w:t>
            </w:r>
          </w:p>
        </w:tc>
        <w:tc>
          <w:tcPr>
            <w:tcW w:w="0" w:type="auto"/>
            <w:vAlign w:val="center"/>
            <w:hideMark/>
          </w:tcPr>
          <w:p w14:paraId="376FD34A" w14:textId="77777777" w:rsidR="00985CE2" w:rsidRPr="00985CE2" w:rsidRDefault="00985CE2" w:rsidP="00985CE2">
            <w:r w:rsidRPr="00985CE2">
              <w:t>Georgia’s governor (1975–1983) who championed practical constitutional reorganization.</w:t>
            </w:r>
          </w:p>
        </w:tc>
      </w:tr>
      <w:tr w:rsidR="00985CE2" w:rsidRPr="00985CE2" w14:paraId="415EFB07" w14:textId="77777777">
        <w:trPr>
          <w:tblCellSpacing w:w="15" w:type="dxa"/>
        </w:trPr>
        <w:tc>
          <w:tcPr>
            <w:tcW w:w="0" w:type="auto"/>
            <w:vAlign w:val="center"/>
            <w:hideMark/>
          </w:tcPr>
          <w:p w14:paraId="7F8D8E3A" w14:textId="77777777" w:rsidR="00985CE2" w:rsidRPr="00985CE2" w:rsidRDefault="00985CE2" w:rsidP="00985CE2">
            <w:r w:rsidRPr="00985CE2">
              <w:t>Constitutional Revision Commission</w:t>
            </w:r>
          </w:p>
        </w:tc>
        <w:tc>
          <w:tcPr>
            <w:tcW w:w="0" w:type="auto"/>
            <w:vAlign w:val="center"/>
            <w:hideMark/>
          </w:tcPr>
          <w:p w14:paraId="7496343D" w14:textId="77777777" w:rsidR="00985CE2" w:rsidRPr="00985CE2" w:rsidRDefault="00985CE2" w:rsidP="00985CE2">
            <w:r w:rsidRPr="00985CE2">
              <w:t>A group of legal, legislative, and civic leaders tasked with proposing constitutional reforms.</w:t>
            </w:r>
          </w:p>
        </w:tc>
      </w:tr>
      <w:tr w:rsidR="00985CE2" w:rsidRPr="00985CE2" w14:paraId="3F6EB337" w14:textId="77777777">
        <w:trPr>
          <w:tblCellSpacing w:w="15" w:type="dxa"/>
        </w:trPr>
        <w:tc>
          <w:tcPr>
            <w:tcW w:w="0" w:type="auto"/>
            <w:vAlign w:val="center"/>
            <w:hideMark/>
          </w:tcPr>
          <w:p w14:paraId="73D1008D" w14:textId="77777777" w:rsidR="00985CE2" w:rsidRPr="00985CE2" w:rsidRDefault="00985CE2" w:rsidP="00985CE2">
            <w:r w:rsidRPr="00985CE2">
              <w:t>Incremental Reform</w:t>
            </w:r>
          </w:p>
        </w:tc>
        <w:tc>
          <w:tcPr>
            <w:tcW w:w="0" w:type="auto"/>
            <w:vAlign w:val="center"/>
            <w:hideMark/>
          </w:tcPr>
          <w:p w14:paraId="340F063A" w14:textId="77777777" w:rsidR="00985CE2" w:rsidRPr="00985CE2" w:rsidRDefault="00985CE2" w:rsidP="00985CE2">
            <w:r w:rsidRPr="00985CE2">
              <w:t>A strategy that makes gradual, non-controversial changes to a legal or political system.</w:t>
            </w:r>
          </w:p>
        </w:tc>
      </w:tr>
      <w:tr w:rsidR="00985CE2" w:rsidRPr="00985CE2" w14:paraId="6D3010BD" w14:textId="77777777">
        <w:trPr>
          <w:tblCellSpacing w:w="15" w:type="dxa"/>
        </w:trPr>
        <w:tc>
          <w:tcPr>
            <w:tcW w:w="0" w:type="auto"/>
            <w:vAlign w:val="center"/>
            <w:hideMark/>
          </w:tcPr>
          <w:p w14:paraId="14DE1E26" w14:textId="77777777" w:rsidR="00985CE2" w:rsidRPr="00985CE2" w:rsidRDefault="00985CE2" w:rsidP="00985CE2">
            <w:r w:rsidRPr="00985CE2">
              <w:t>Transitional Document</w:t>
            </w:r>
          </w:p>
        </w:tc>
        <w:tc>
          <w:tcPr>
            <w:tcW w:w="0" w:type="auto"/>
            <w:vAlign w:val="center"/>
            <w:hideMark/>
          </w:tcPr>
          <w:p w14:paraId="28375120" w14:textId="77777777" w:rsidR="00985CE2" w:rsidRPr="00985CE2" w:rsidRDefault="00985CE2" w:rsidP="00985CE2">
            <w:r w:rsidRPr="00985CE2">
              <w:t xml:space="preserve">A constitution or law designed to serve as a </w:t>
            </w:r>
            <w:proofErr w:type="gramStart"/>
            <w:r w:rsidRPr="00985CE2">
              <w:t>stepping stone</w:t>
            </w:r>
            <w:proofErr w:type="gramEnd"/>
            <w:r w:rsidRPr="00985CE2">
              <w:t xml:space="preserve"> between outdated and more modern frameworks.</w:t>
            </w:r>
          </w:p>
        </w:tc>
      </w:tr>
    </w:tbl>
    <w:p w14:paraId="67FF13E0" w14:textId="77777777" w:rsidR="00985CE2" w:rsidRPr="00985CE2" w:rsidRDefault="00985CE2" w:rsidP="00985CE2">
      <w:r w:rsidRPr="00985CE2">
        <w:pict w14:anchorId="67E186FF">
          <v:rect id="_x0000_i1791" style="width:0;height:1.5pt" o:hralign="center" o:hrstd="t" o:hr="t" fillcolor="#a0a0a0" stroked="f"/>
        </w:pict>
      </w:r>
    </w:p>
    <w:p w14:paraId="3FAA63E6" w14:textId="77777777" w:rsidR="00985CE2" w:rsidRPr="00985CE2" w:rsidRDefault="00985CE2" w:rsidP="00985CE2">
      <w:pPr>
        <w:rPr>
          <w:b/>
          <w:bCs/>
        </w:rPr>
      </w:pPr>
      <w:r w:rsidRPr="00985CE2">
        <w:rPr>
          <w:b/>
          <w:bCs/>
        </w:rPr>
        <w:lastRenderedPageBreak/>
        <w:t>Orienting Question</w:t>
      </w:r>
    </w:p>
    <w:p w14:paraId="06C73B23" w14:textId="77777777" w:rsidR="00985CE2" w:rsidRPr="00985CE2" w:rsidRDefault="00985CE2" w:rsidP="00985CE2">
      <w:r w:rsidRPr="00985CE2">
        <w:rPr>
          <w:b/>
          <w:bCs/>
        </w:rPr>
        <w:t>Why did Georgia choose constitutional reorganization instead of rewriting in 1976, and how did this decision shape future reform?</w:t>
      </w:r>
    </w:p>
    <w:p w14:paraId="24345342" w14:textId="77777777" w:rsidR="00985CE2" w:rsidRPr="00985CE2" w:rsidRDefault="00985CE2" w:rsidP="00985CE2">
      <w:r w:rsidRPr="00985CE2">
        <w:pict w14:anchorId="5204C691">
          <v:rect id="_x0000_i1792" style="width:0;height:1.5pt" o:hralign="center" o:hrstd="t" o:hr="t" fillcolor="#a0a0a0" stroked="f"/>
        </w:pict>
      </w:r>
    </w:p>
    <w:p w14:paraId="066ABE88" w14:textId="77777777" w:rsidR="00985CE2" w:rsidRPr="00985CE2" w:rsidRDefault="00985CE2" w:rsidP="00985CE2">
      <w:pPr>
        <w:rPr>
          <w:b/>
          <w:bCs/>
        </w:rPr>
      </w:pPr>
      <w:r w:rsidRPr="00985CE2">
        <w:rPr>
          <w:b/>
          <w:bCs/>
        </w:rPr>
        <w:t>Active Learning Exercises</w:t>
      </w:r>
    </w:p>
    <w:p w14:paraId="481C19AF" w14:textId="77777777" w:rsidR="00985CE2" w:rsidRPr="00985CE2" w:rsidRDefault="00985CE2" w:rsidP="00985CE2">
      <w:r w:rsidRPr="00985CE2">
        <w:rPr>
          <w:b/>
          <w:bCs/>
        </w:rPr>
        <w:t>Exercise 1: Policy Memo Simulation</w:t>
      </w:r>
      <w:r w:rsidRPr="00985CE2">
        <w:br/>
      </w:r>
      <w:r w:rsidRPr="00985CE2">
        <w:rPr>
          <w:b/>
          <w:bCs/>
        </w:rPr>
        <w:t>Prompt:</w:t>
      </w:r>
      <w:r w:rsidRPr="00985CE2">
        <w:br/>
        <w:t>As a 1974 advisor to Governor Busbee, draft a 1–</w:t>
      </w:r>
      <w:proofErr w:type="gramStart"/>
      <w:r w:rsidRPr="00985CE2">
        <w:t>2 page</w:t>
      </w:r>
      <w:proofErr w:type="gramEnd"/>
      <w:r w:rsidRPr="00985CE2">
        <w:t xml:space="preserve"> memo recommending either a full overhaul or article-by-article reorganization. Address:</w:t>
      </w:r>
    </w:p>
    <w:p w14:paraId="791223D7" w14:textId="77777777" w:rsidR="00985CE2" w:rsidRPr="00985CE2" w:rsidRDefault="00985CE2" w:rsidP="00985CE2">
      <w:pPr>
        <w:numPr>
          <w:ilvl w:val="0"/>
          <w:numId w:val="23"/>
        </w:numPr>
      </w:pPr>
      <w:r w:rsidRPr="00985CE2">
        <w:t>Political and procedural challenges</w:t>
      </w:r>
    </w:p>
    <w:p w14:paraId="47F5E412" w14:textId="77777777" w:rsidR="00985CE2" w:rsidRPr="00985CE2" w:rsidRDefault="00985CE2" w:rsidP="00985CE2">
      <w:pPr>
        <w:numPr>
          <w:ilvl w:val="0"/>
          <w:numId w:val="23"/>
        </w:numPr>
      </w:pPr>
      <w:r w:rsidRPr="00985CE2">
        <w:t>Benefits/limitations of incremental reform</w:t>
      </w:r>
    </w:p>
    <w:p w14:paraId="3F3B4ED8" w14:textId="77777777" w:rsidR="00985CE2" w:rsidRPr="00985CE2" w:rsidRDefault="00985CE2" w:rsidP="00985CE2">
      <w:pPr>
        <w:numPr>
          <w:ilvl w:val="0"/>
          <w:numId w:val="23"/>
        </w:numPr>
      </w:pPr>
      <w:r w:rsidRPr="00985CE2">
        <w:t>How reorganization could prepare for future changes</w:t>
      </w:r>
      <w:r w:rsidRPr="00985CE2">
        <w:br/>
      </w:r>
      <w:r w:rsidRPr="00985CE2">
        <w:rPr>
          <w:b/>
          <w:bCs/>
        </w:rPr>
        <w:t>Use context from 1963 and 1969 efforts.</w:t>
      </w:r>
    </w:p>
    <w:p w14:paraId="614C992C" w14:textId="77777777" w:rsidR="00985CE2" w:rsidRPr="00985CE2" w:rsidRDefault="00985CE2" w:rsidP="00985CE2">
      <w:r w:rsidRPr="00985CE2">
        <w:rPr>
          <w:b/>
          <w:bCs/>
        </w:rPr>
        <w:t>Objective:</w:t>
      </w:r>
      <w:r w:rsidRPr="00985CE2">
        <w:br/>
        <w:t>To assess competing strategies of constitutional reform in a politically cautious era.</w:t>
      </w:r>
    </w:p>
    <w:p w14:paraId="529D0B9E" w14:textId="77777777" w:rsidR="00985CE2" w:rsidRPr="00985CE2" w:rsidRDefault="00985CE2" w:rsidP="00985CE2">
      <w:r w:rsidRPr="00985CE2">
        <w:pict w14:anchorId="1C429207">
          <v:rect id="_x0000_i1793" style="width:0;height:1.5pt" o:hralign="center" o:hrstd="t" o:hr="t" fillcolor="#a0a0a0" stroked="f"/>
        </w:pict>
      </w:r>
    </w:p>
    <w:p w14:paraId="6DD3960B" w14:textId="77777777" w:rsidR="00985CE2" w:rsidRPr="00985CE2" w:rsidRDefault="00985CE2" w:rsidP="00985CE2">
      <w:r w:rsidRPr="00985CE2">
        <w:rPr>
          <w:b/>
          <w:bCs/>
        </w:rPr>
        <w:t>Exercise 2: Timeline and Analysis Project</w:t>
      </w:r>
      <w:r w:rsidRPr="00985CE2">
        <w:br/>
      </w:r>
      <w:r w:rsidRPr="00985CE2">
        <w:rPr>
          <w:b/>
          <w:bCs/>
        </w:rPr>
        <w:t>Prompt:</w:t>
      </w:r>
      <w:r w:rsidRPr="00985CE2">
        <w:br/>
        <w:t>Create a detailed timeline of Georgia’s constitutional revision efforts (1963–1976), then write a 2-page analysis exploring:</w:t>
      </w:r>
    </w:p>
    <w:p w14:paraId="6930288B" w14:textId="77777777" w:rsidR="00985CE2" w:rsidRPr="00985CE2" w:rsidRDefault="00985CE2" w:rsidP="00985CE2">
      <w:pPr>
        <w:numPr>
          <w:ilvl w:val="0"/>
          <w:numId w:val="24"/>
        </w:numPr>
      </w:pPr>
      <w:r w:rsidRPr="00985CE2">
        <w:t>Patterns in failed/successful efforts</w:t>
      </w:r>
    </w:p>
    <w:p w14:paraId="779042C5" w14:textId="77777777" w:rsidR="00985CE2" w:rsidRPr="00985CE2" w:rsidRDefault="00985CE2" w:rsidP="00985CE2">
      <w:pPr>
        <w:numPr>
          <w:ilvl w:val="0"/>
          <w:numId w:val="24"/>
        </w:numPr>
      </w:pPr>
      <w:r w:rsidRPr="00985CE2">
        <w:t>Role of legal/political constraints</w:t>
      </w:r>
    </w:p>
    <w:p w14:paraId="745E7D71" w14:textId="77777777" w:rsidR="00985CE2" w:rsidRPr="00985CE2" w:rsidRDefault="00985CE2" w:rsidP="00985CE2">
      <w:pPr>
        <w:numPr>
          <w:ilvl w:val="0"/>
          <w:numId w:val="24"/>
        </w:numPr>
      </w:pPr>
      <w:r w:rsidRPr="00985CE2">
        <w:t>Strategic shift reflected in the 1976 Constitution</w:t>
      </w:r>
    </w:p>
    <w:p w14:paraId="67FF5E3F" w14:textId="77777777" w:rsidR="00985CE2" w:rsidRPr="00985CE2" w:rsidRDefault="00985CE2" w:rsidP="00985CE2">
      <w:r w:rsidRPr="00985CE2">
        <w:rPr>
          <w:b/>
          <w:bCs/>
        </w:rPr>
        <w:t>Objective:</w:t>
      </w:r>
      <w:r w:rsidRPr="00985CE2">
        <w:br/>
        <w:t>To trace Georgia’s reform trajectory and analyze barriers to constitutional change.</w:t>
      </w:r>
    </w:p>
    <w:p w14:paraId="4ACF7D03" w14:textId="77777777" w:rsidR="00985CE2" w:rsidRPr="00985CE2" w:rsidRDefault="00985CE2" w:rsidP="00985CE2">
      <w:r w:rsidRPr="00985CE2">
        <w:pict w14:anchorId="40E8D8DB">
          <v:rect id="_x0000_i1794" style="width:0;height:1.5pt" o:hralign="center" o:hrstd="t" o:hr="t" fillcolor="#a0a0a0" stroked="f"/>
        </w:pict>
      </w:r>
    </w:p>
    <w:p w14:paraId="14FBCC09" w14:textId="77777777" w:rsidR="00985CE2" w:rsidRPr="00985CE2" w:rsidRDefault="00985CE2" w:rsidP="00985CE2">
      <w:r w:rsidRPr="00985CE2">
        <w:rPr>
          <w:b/>
          <w:bCs/>
        </w:rPr>
        <w:t>Exercise 3: Comparative Constitutional Critique</w:t>
      </w:r>
      <w:r w:rsidRPr="00985CE2">
        <w:br/>
      </w:r>
      <w:r w:rsidRPr="00985CE2">
        <w:rPr>
          <w:b/>
          <w:bCs/>
        </w:rPr>
        <w:t>Prompt (3–4 pages):</w:t>
      </w:r>
      <w:r w:rsidRPr="00985CE2">
        <w:br/>
        <w:t xml:space="preserve">Compare the </w:t>
      </w:r>
      <w:r w:rsidRPr="00985CE2">
        <w:rPr>
          <w:b/>
          <w:bCs/>
        </w:rPr>
        <w:t>1945</w:t>
      </w:r>
      <w:r w:rsidRPr="00985CE2">
        <w:t xml:space="preserve">, </w:t>
      </w:r>
      <w:r w:rsidRPr="00985CE2">
        <w:rPr>
          <w:b/>
          <w:bCs/>
        </w:rPr>
        <w:t>1976</w:t>
      </w:r>
      <w:r w:rsidRPr="00985CE2">
        <w:t xml:space="preserve">, and </w:t>
      </w:r>
      <w:r w:rsidRPr="00985CE2">
        <w:rPr>
          <w:b/>
          <w:bCs/>
        </w:rPr>
        <w:t>1983</w:t>
      </w:r>
      <w:r w:rsidRPr="00985CE2">
        <w:t xml:space="preserve"> Georgia Constitutions. Analyze:</w:t>
      </w:r>
    </w:p>
    <w:p w14:paraId="1ACF36FC" w14:textId="77777777" w:rsidR="00985CE2" w:rsidRPr="00985CE2" w:rsidRDefault="00985CE2" w:rsidP="00985CE2">
      <w:pPr>
        <w:numPr>
          <w:ilvl w:val="0"/>
          <w:numId w:val="25"/>
        </w:numPr>
      </w:pPr>
      <w:r w:rsidRPr="00985CE2">
        <w:t>Scope of change in each document</w:t>
      </w:r>
    </w:p>
    <w:p w14:paraId="1A7D207D" w14:textId="77777777" w:rsidR="00985CE2" w:rsidRPr="00985CE2" w:rsidRDefault="00985CE2" w:rsidP="00985CE2">
      <w:pPr>
        <w:numPr>
          <w:ilvl w:val="0"/>
          <w:numId w:val="25"/>
        </w:numPr>
      </w:pPr>
      <w:r w:rsidRPr="00985CE2">
        <w:lastRenderedPageBreak/>
        <w:t>Political/legal contexts</w:t>
      </w:r>
    </w:p>
    <w:p w14:paraId="4D542510" w14:textId="77777777" w:rsidR="00985CE2" w:rsidRPr="00985CE2" w:rsidRDefault="00985CE2" w:rsidP="00985CE2">
      <w:pPr>
        <w:numPr>
          <w:ilvl w:val="0"/>
          <w:numId w:val="25"/>
        </w:numPr>
      </w:pPr>
      <w:r w:rsidRPr="00985CE2">
        <w:t>The value of reorganization vs. substantive reform</w:t>
      </w:r>
      <w:r w:rsidRPr="00985CE2">
        <w:br/>
      </w:r>
      <w:r w:rsidRPr="00985CE2">
        <w:rPr>
          <w:b/>
          <w:bCs/>
        </w:rPr>
        <w:t>Conclusion:</w:t>
      </w:r>
      <w:r w:rsidRPr="00985CE2">
        <w:br/>
        <w:t xml:space="preserve">Was 1976 successful reform—or a </w:t>
      </w:r>
      <w:proofErr w:type="gramStart"/>
      <w:r w:rsidRPr="00985CE2">
        <w:t>stepping stone</w:t>
      </w:r>
      <w:proofErr w:type="gramEnd"/>
      <w:r w:rsidRPr="00985CE2">
        <w:t>?</w:t>
      </w:r>
    </w:p>
    <w:p w14:paraId="301EC5DC" w14:textId="77777777" w:rsidR="00985CE2" w:rsidRPr="00985CE2" w:rsidRDefault="00985CE2" w:rsidP="00985CE2">
      <w:r w:rsidRPr="00985CE2">
        <w:rPr>
          <w:b/>
          <w:bCs/>
        </w:rPr>
        <w:t>Objective:</w:t>
      </w:r>
      <w:r w:rsidRPr="00985CE2">
        <w:br/>
        <w:t>To evaluate the effectiveness and legacy of the 1976 Constitution in Georgia’s legal evolution.</w:t>
      </w:r>
    </w:p>
    <w:p w14:paraId="279943BE" w14:textId="77777777" w:rsidR="00985CE2" w:rsidRPr="00985CE2" w:rsidRDefault="00985CE2" w:rsidP="00985CE2">
      <w:r w:rsidRPr="00985CE2">
        <w:pict w14:anchorId="3FD419E2">
          <v:rect id="_x0000_i1795" style="width:0;height:1.5pt" o:hralign="center" o:hrstd="t" o:hr="t" fillcolor="#a0a0a0" stroked="f"/>
        </w:pict>
      </w:r>
    </w:p>
    <w:p w14:paraId="3DC89A0E" w14:textId="77777777" w:rsidR="00985CE2" w:rsidRPr="00985CE2" w:rsidRDefault="00985CE2" w:rsidP="00985CE2">
      <w:pPr>
        <w:rPr>
          <w:b/>
          <w:bCs/>
        </w:rPr>
      </w:pPr>
      <w:r w:rsidRPr="00985CE2">
        <w:rPr>
          <w:b/>
          <w:bCs/>
        </w:rPr>
        <w:t>Review Questions</w:t>
      </w:r>
    </w:p>
    <w:p w14:paraId="53CAD03E" w14:textId="77777777" w:rsidR="00985CE2" w:rsidRPr="00985CE2" w:rsidRDefault="00985CE2" w:rsidP="00985CE2">
      <w:pPr>
        <w:numPr>
          <w:ilvl w:val="0"/>
          <w:numId w:val="26"/>
        </w:numPr>
      </w:pPr>
      <w:r w:rsidRPr="00985CE2">
        <w:t>What were the primary goals of the 1976 constitutional reorganization?</w:t>
      </w:r>
    </w:p>
    <w:p w14:paraId="26A3CD77" w14:textId="77777777" w:rsidR="00985CE2" w:rsidRPr="00985CE2" w:rsidRDefault="00985CE2" w:rsidP="00985CE2">
      <w:pPr>
        <w:numPr>
          <w:ilvl w:val="0"/>
          <w:numId w:val="26"/>
        </w:numPr>
      </w:pPr>
      <w:r w:rsidRPr="00985CE2">
        <w:t>Why did earlier reform efforts in the 1960s and early 1970s fail?</w:t>
      </w:r>
    </w:p>
    <w:p w14:paraId="750E1A21" w14:textId="77777777" w:rsidR="00985CE2" w:rsidRPr="00985CE2" w:rsidRDefault="00985CE2" w:rsidP="00985CE2">
      <w:pPr>
        <w:numPr>
          <w:ilvl w:val="0"/>
          <w:numId w:val="26"/>
        </w:numPr>
      </w:pPr>
      <w:r w:rsidRPr="00985CE2">
        <w:t>What are the advantages and drawbacks of incremental reform?</w:t>
      </w:r>
    </w:p>
    <w:p w14:paraId="390D6444" w14:textId="77777777" w:rsidR="00985CE2" w:rsidRPr="00985CE2" w:rsidRDefault="00985CE2" w:rsidP="00985CE2">
      <w:pPr>
        <w:numPr>
          <w:ilvl w:val="0"/>
          <w:numId w:val="26"/>
        </w:numPr>
      </w:pPr>
      <w:r w:rsidRPr="00985CE2">
        <w:t>How did the 1976 Constitution lay the groundwork for future change?</w:t>
      </w:r>
    </w:p>
    <w:p w14:paraId="51CC5D58" w14:textId="77777777" w:rsidR="00985CE2" w:rsidRPr="00985CE2" w:rsidRDefault="00985CE2" w:rsidP="00985CE2">
      <w:pPr>
        <w:numPr>
          <w:ilvl w:val="0"/>
          <w:numId w:val="26"/>
        </w:numPr>
      </w:pPr>
      <w:r w:rsidRPr="00985CE2">
        <w:t>Should the 1976 Constitution be viewed as a reform or placeholder? Why?</w:t>
      </w:r>
    </w:p>
    <w:p w14:paraId="43DE2F43" w14:textId="77777777" w:rsidR="00143FDF" w:rsidRPr="00985CE2" w:rsidRDefault="00143FDF" w:rsidP="00985CE2"/>
    <w:sectPr w:rsidR="00143FDF" w:rsidRPr="00985C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019F8"/>
    <w:multiLevelType w:val="multilevel"/>
    <w:tmpl w:val="0786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013CF"/>
    <w:multiLevelType w:val="multilevel"/>
    <w:tmpl w:val="6554B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E4A22"/>
    <w:multiLevelType w:val="multilevel"/>
    <w:tmpl w:val="86CE0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5718AD"/>
    <w:multiLevelType w:val="multilevel"/>
    <w:tmpl w:val="AAFE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F46542"/>
    <w:multiLevelType w:val="multilevel"/>
    <w:tmpl w:val="A0903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BB304A"/>
    <w:multiLevelType w:val="multilevel"/>
    <w:tmpl w:val="AAE0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F760A0"/>
    <w:multiLevelType w:val="multilevel"/>
    <w:tmpl w:val="705E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555194"/>
    <w:multiLevelType w:val="multilevel"/>
    <w:tmpl w:val="C2085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161B43"/>
    <w:multiLevelType w:val="multilevel"/>
    <w:tmpl w:val="2040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6E5E35"/>
    <w:multiLevelType w:val="multilevel"/>
    <w:tmpl w:val="C2FAA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474F51"/>
    <w:multiLevelType w:val="multilevel"/>
    <w:tmpl w:val="47D08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992A4A"/>
    <w:multiLevelType w:val="multilevel"/>
    <w:tmpl w:val="2B782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412114"/>
    <w:multiLevelType w:val="multilevel"/>
    <w:tmpl w:val="47CCF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B1327C"/>
    <w:multiLevelType w:val="multilevel"/>
    <w:tmpl w:val="F4C8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547487"/>
    <w:multiLevelType w:val="multilevel"/>
    <w:tmpl w:val="43A4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7127A4"/>
    <w:multiLevelType w:val="multilevel"/>
    <w:tmpl w:val="D154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21694B"/>
    <w:multiLevelType w:val="multilevel"/>
    <w:tmpl w:val="500A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7215C2"/>
    <w:multiLevelType w:val="multilevel"/>
    <w:tmpl w:val="D1AE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493A58"/>
    <w:multiLevelType w:val="multilevel"/>
    <w:tmpl w:val="1830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740FF9"/>
    <w:multiLevelType w:val="multilevel"/>
    <w:tmpl w:val="09B8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933D25"/>
    <w:multiLevelType w:val="multilevel"/>
    <w:tmpl w:val="DC42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BF23EB"/>
    <w:multiLevelType w:val="multilevel"/>
    <w:tmpl w:val="6E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E00474"/>
    <w:multiLevelType w:val="multilevel"/>
    <w:tmpl w:val="14E8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E8318C"/>
    <w:multiLevelType w:val="multilevel"/>
    <w:tmpl w:val="09320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4A11B4"/>
    <w:multiLevelType w:val="multilevel"/>
    <w:tmpl w:val="BFDCD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E7591"/>
    <w:multiLevelType w:val="multilevel"/>
    <w:tmpl w:val="3F2A9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3061226">
    <w:abstractNumId w:val="2"/>
  </w:num>
  <w:num w:numId="2" w16cid:durableId="1029259201">
    <w:abstractNumId w:val="9"/>
  </w:num>
  <w:num w:numId="3" w16cid:durableId="457143909">
    <w:abstractNumId w:val="21"/>
  </w:num>
  <w:num w:numId="4" w16cid:durableId="865603866">
    <w:abstractNumId w:val="15"/>
  </w:num>
  <w:num w:numId="5" w16cid:durableId="594438601">
    <w:abstractNumId w:val="14"/>
  </w:num>
  <w:num w:numId="6" w16cid:durableId="536353191">
    <w:abstractNumId w:val="0"/>
  </w:num>
  <w:num w:numId="7" w16cid:durableId="511996009">
    <w:abstractNumId w:val="17"/>
  </w:num>
  <w:num w:numId="8" w16cid:durableId="367069376">
    <w:abstractNumId w:val="12"/>
  </w:num>
  <w:num w:numId="9" w16cid:durableId="212469452">
    <w:abstractNumId w:val="5"/>
  </w:num>
  <w:num w:numId="10" w16cid:durableId="1899169290">
    <w:abstractNumId w:val="22"/>
  </w:num>
  <w:num w:numId="11" w16cid:durableId="1741753476">
    <w:abstractNumId w:val="13"/>
  </w:num>
  <w:num w:numId="12" w16cid:durableId="713970689">
    <w:abstractNumId w:val="18"/>
  </w:num>
  <w:num w:numId="13" w16cid:durableId="910237734">
    <w:abstractNumId w:val="19"/>
  </w:num>
  <w:num w:numId="14" w16cid:durableId="441802354">
    <w:abstractNumId w:val="25"/>
  </w:num>
  <w:num w:numId="15" w16cid:durableId="1057313714">
    <w:abstractNumId w:val="24"/>
  </w:num>
  <w:num w:numId="16" w16cid:durableId="1813447227">
    <w:abstractNumId w:val="3"/>
  </w:num>
  <w:num w:numId="17" w16cid:durableId="1615670364">
    <w:abstractNumId w:val="10"/>
  </w:num>
  <w:num w:numId="18" w16cid:durableId="545021262">
    <w:abstractNumId w:val="4"/>
  </w:num>
  <w:num w:numId="19" w16cid:durableId="552810444">
    <w:abstractNumId w:val="7"/>
  </w:num>
  <w:num w:numId="20" w16cid:durableId="1542522863">
    <w:abstractNumId w:val="16"/>
  </w:num>
  <w:num w:numId="21" w16cid:durableId="1262757489">
    <w:abstractNumId w:val="1"/>
  </w:num>
  <w:num w:numId="22" w16cid:durableId="1392924512">
    <w:abstractNumId w:val="23"/>
  </w:num>
  <w:num w:numId="23" w16cid:durableId="1754354167">
    <w:abstractNumId w:val="8"/>
  </w:num>
  <w:num w:numId="24" w16cid:durableId="1454052862">
    <w:abstractNumId w:val="6"/>
  </w:num>
  <w:num w:numId="25" w16cid:durableId="1440759466">
    <w:abstractNumId w:val="20"/>
  </w:num>
  <w:num w:numId="26" w16cid:durableId="19202099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25"/>
    <w:rsid w:val="00034BFE"/>
    <w:rsid w:val="00143FDF"/>
    <w:rsid w:val="00617267"/>
    <w:rsid w:val="00677443"/>
    <w:rsid w:val="006B2525"/>
    <w:rsid w:val="006B5BDB"/>
    <w:rsid w:val="00761287"/>
    <w:rsid w:val="008962B2"/>
    <w:rsid w:val="00985CE2"/>
    <w:rsid w:val="00AE6FDE"/>
    <w:rsid w:val="00B52CDB"/>
    <w:rsid w:val="00B77338"/>
    <w:rsid w:val="00C1122C"/>
    <w:rsid w:val="00D84995"/>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7EB5"/>
  <w15:chartTrackingRefBased/>
  <w15:docId w15:val="{ED4EFC97-5F24-4C45-96AE-32DFDEA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25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25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5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5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5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5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5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5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25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25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25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5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5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5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5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525"/>
    <w:rPr>
      <w:rFonts w:eastAsiaTheme="majorEastAsia" w:cstheme="majorBidi"/>
      <w:color w:val="272727" w:themeColor="text1" w:themeTint="D8"/>
    </w:rPr>
  </w:style>
  <w:style w:type="paragraph" w:styleId="Title">
    <w:name w:val="Title"/>
    <w:basedOn w:val="Normal"/>
    <w:next w:val="Normal"/>
    <w:link w:val="TitleChar"/>
    <w:uiPriority w:val="10"/>
    <w:qFormat/>
    <w:rsid w:val="006B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5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5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5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525"/>
    <w:pPr>
      <w:spacing w:before="160"/>
      <w:jc w:val="center"/>
    </w:pPr>
    <w:rPr>
      <w:i/>
      <w:iCs/>
      <w:color w:val="404040" w:themeColor="text1" w:themeTint="BF"/>
    </w:rPr>
  </w:style>
  <w:style w:type="character" w:customStyle="1" w:styleId="QuoteChar">
    <w:name w:val="Quote Char"/>
    <w:basedOn w:val="DefaultParagraphFont"/>
    <w:link w:val="Quote"/>
    <w:uiPriority w:val="29"/>
    <w:rsid w:val="006B2525"/>
    <w:rPr>
      <w:i/>
      <w:iCs/>
      <w:color w:val="404040" w:themeColor="text1" w:themeTint="BF"/>
    </w:rPr>
  </w:style>
  <w:style w:type="paragraph" w:styleId="ListParagraph">
    <w:name w:val="List Paragraph"/>
    <w:basedOn w:val="Normal"/>
    <w:uiPriority w:val="34"/>
    <w:qFormat/>
    <w:rsid w:val="006B2525"/>
    <w:pPr>
      <w:ind w:left="720"/>
      <w:contextualSpacing/>
    </w:pPr>
  </w:style>
  <w:style w:type="character" w:styleId="IntenseEmphasis">
    <w:name w:val="Intense Emphasis"/>
    <w:basedOn w:val="DefaultParagraphFont"/>
    <w:uiPriority w:val="21"/>
    <w:qFormat/>
    <w:rsid w:val="006B2525"/>
    <w:rPr>
      <w:i/>
      <w:iCs/>
      <w:color w:val="0F4761" w:themeColor="accent1" w:themeShade="BF"/>
    </w:rPr>
  </w:style>
  <w:style w:type="paragraph" w:styleId="IntenseQuote">
    <w:name w:val="Intense Quote"/>
    <w:basedOn w:val="Normal"/>
    <w:next w:val="Normal"/>
    <w:link w:val="IntenseQuoteChar"/>
    <w:uiPriority w:val="30"/>
    <w:qFormat/>
    <w:rsid w:val="006B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525"/>
    <w:rPr>
      <w:i/>
      <w:iCs/>
      <w:color w:val="0F4761" w:themeColor="accent1" w:themeShade="BF"/>
    </w:rPr>
  </w:style>
  <w:style w:type="character" w:styleId="IntenseReference">
    <w:name w:val="Intense Reference"/>
    <w:basedOn w:val="DefaultParagraphFont"/>
    <w:uiPriority w:val="32"/>
    <w:qFormat/>
    <w:rsid w:val="006B25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2025-12-02T14:17:00Z</dcterms:created>
  <dcterms:modified xsi:type="dcterms:W3CDTF">2025-12-02T14:17:00Z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2025-12-02T13:56:10Z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bfa97576-743a-41f9-b71a-81a97a94252e</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